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A63" w:rsidRDefault="00386A63" w:rsidP="00386A63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bookmarkStart w:id="0" w:name="_GoBack"/>
      <w:bookmarkEnd w:id="0"/>
      <w:r>
        <w:rPr>
          <w:rFonts w:ascii="Times New Roman" w:hAnsi="Times New Roman" w:cs="Times New Roman"/>
        </w:rPr>
        <w:t xml:space="preserve">4: Primary and subgroup analyses of hazard ratios (95% CI) for three-point </w:t>
      </w:r>
      <w:r w:rsidRPr="000821F6">
        <w:rPr>
          <w:rFonts w:ascii="Times New Roman" w:eastAsia="標楷體" w:hAnsi="Times New Roman" w:cs="Times New Roman"/>
        </w:rPr>
        <w:t>major adverse cardi</w:t>
      </w:r>
      <w:r>
        <w:rPr>
          <w:rFonts w:ascii="Times New Roman" w:eastAsia="標楷體" w:hAnsi="Times New Roman" w:cs="Times New Roman"/>
        </w:rPr>
        <w:t>ovascular</w:t>
      </w:r>
      <w:r w:rsidRPr="000821F6">
        <w:rPr>
          <w:rFonts w:ascii="Times New Roman" w:eastAsia="標楷體" w:hAnsi="Times New Roman" w:cs="Times New Roman"/>
        </w:rPr>
        <w:t xml:space="preserve"> event</w:t>
      </w:r>
      <w:r>
        <w:rPr>
          <w:rFonts w:ascii="Times New Roman" w:eastAsia="標楷體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associated with the use of GLP-1ra versus other glucose-lowering agents</w:t>
      </w:r>
      <w:r>
        <w:rPr>
          <w:rFonts w:ascii="Times New Roman" w:hAnsi="Times New Roman" w:cs="Times New Roman" w:hint="eastAsia"/>
          <w:vertAlign w:val="superscript"/>
        </w:rPr>
        <w:t>a</w:t>
      </w:r>
    </w:p>
    <w:p w:rsidR="00386A63" w:rsidRDefault="00386A63" w:rsidP="00386A63">
      <w:pPr>
        <w:widowControl/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2069"/>
        <w:gridCol w:w="2069"/>
        <w:gridCol w:w="2069"/>
      </w:tblGrid>
      <w:tr w:rsidR="00386A63" w:rsidTr="008A6246"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6A63" w:rsidRPr="005005F2" w:rsidRDefault="00386A63" w:rsidP="008A6246">
            <w:pPr>
              <w:widowControl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MACE</w:t>
            </w:r>
            <w:r>
              <w:rPr>
                <w:rFonts w:ascii="Times New Roman" w:hAnsi="Times New Roman" w:cs="Times New Roman" w:hint="eastAsia"/>
                <w:b/>
                <w:vertAlign w:val="superscript"/>
              </w:rPr>
              <w:t>b</w:t>
            </w:r>
          </w:p>
        </w:tc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6A63" w:rsidRDefault="00386A63" w:rsidP="008A624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GLP-1ra vs. 1:1 matched DPP-4i</w:t>
            </w:r>
          </w:p>
        </w:tc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GLP-1ra vs. 1:1 matched SU</w:t>
            </w:r>
          </w:p>
        </w:tc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GLP-1ra vs. 1:1 matched insulin</w:t>
            </w:r>
          </w:p>
        </w:tc>
      </w:tr>
      <w:tr w:rsidR="00386A63" w:rsidTr="008A6246">
        <w:tc>
          <w:tcPr>
            <w:tcW w:w="2614" w:type="dxa"/>
            <w:tcBorders>
              <w:top w:val="single" w:sz="4" w:space="0" w:color="auto"/>
            </w:tcBorders>
            <w:vAlign w:val="center"/>
          </w:tcPr>
          <w:p w:rsidR="00386A63" w:rsidRDefault="00386A63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Primary analysis</w:t>
            </w:r>
          </w:p>
        </w:tc>
        <w:tc>
          <w:tcPr>
            <w:tcW w:w="2614" w:type="dxa"/>
            <w:tcBorders>
              <w:top w:val="single" w:sz="4" w:space="0" w:color="auto"/>
            </w:tcBorders>
            <w:vAlign w:val="center"/>
          </w:tcPr>
          <w:p w:rsidR="00386A63" w:rsidRDefault="00386A63" w:rsidP="008A6246">
            <w:pPr>
              <w:widowControl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0.65 (0.41, 1.03)</w:t>
            </w:r>
          </w:p>
        </w:tc>
        <w:tc>
          <w:tcPr>
            <w:tcW w:w="2614" w:type="dxa"/>
            <w:tcBorders>
              <w:top w:val="single" w:sz="4" w:space="0" w:color="auto"/>
            </w:tcBorders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0.90 (0.56, 1.44)</w:t>
            </w:r>
          </w:p>
        </w:tc>
        <w:tc>
          <w:tcPr>
            <w:tcW w:w="2614" w:type="dxa"/>
            <w:tcBorders>
              <w:top w:val="single" w:sz="4" w:space="0" w:color="auto"/>
            </w:tcBorders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0.62 (0.38, 1.03)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CVD history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 (0.23, 0.84)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 (0.42, 2.04)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 (0.23, 1.00)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 (0.51, 1.87)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 (0.54, 1.77)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 (0.40, 1.53)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MVD history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0.52 (0.23, 1.19)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0.63 (0.27, 1.47)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0.53 (0.23, 1.24)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0.70 (0.41, 1.21)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1.03 (0.58, 1.84)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0.67 (0.36, 1.23)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Age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ind w:firstLineChars="100" w:firstLine="24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&lt;50 years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0.40 (0.15, 1.05)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0.57 (0.21, 1.57)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0.76 (0.25, 2.32)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ind w:firstLineChars="100" w:firstLine="24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≥50 years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0.68 (0.41, 1.14)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0.98 (0.58, 1.68)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0.51 (0.29, 0.89)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Sex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Male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0.66 (0.38, 1.16)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1.09 (0.60, 1.97)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0.62 (0.32, 1.22)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0.59 (0.27, 1.28)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0.65 (0.29, 1.46)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0.62 (0.30, 1.29)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DM duration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</w:tr>
      <w:tr w:rsidR="00386A63" w:rsidTr="008A6246">
        <w:tc>
          <w:tcPr>
            <w:tcW w:w="2614" w:type="dxa"/>
            <w:vAlign w:val="center"/>
          </w:tcPr>
          <w:p w:rsidR="00386A63" w:rsidRDefault="00386A63" w:rsidP="008A6246">
            <w:pPr>
              <w:widowControl/>
              <w:ind w:firstLineChars="100" w:firstLine="24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&lt;5 years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0.40 (0.16, 1.00)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0.61 (0.24, 1.54)</w:t>
            </w:r>
          </w:p>
        </w:tc>
        <w:tc>
          <w:tcPr>
            <w:tcW w:w="2614" w:type="dxa"/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0.47 (0.16, 1.40)</w:t>
            </w:r>
          </w:p>
        </w:tc>
      </w:tr>
      <w:tr w:rsidR="00386A63" w:rsidTr="008A6246">
        <w:tc>
          <w:tcPr>
            <w:tcW w:w="2614" w:type="dxa"/>
            <w:tcBorders>
              <w:bottom w:val="single" w:sz="4" w:space="0" w:color="auto"/>
            </w:tcBorders>
            <w:vAlign w:val="center"/>
          </w:tcPr>
          <w:p w:rsidR="00386A63" w:rsidRDefault="00386A63" w:rsidP="008A6246">
            <w:pPr>
              <w:ind w:firstLineChars="100" w:firstLine="24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≥5 years</w:t>
            </w:r>
          </w:p>
        </w:tc>
        <w:tc>
          <w:tcPr>
            <w:tcW w:w="2614" w:type="dxa"/>
            <w:tcBorders>
              <w:bottom w:val="single" w:sz="4" w:space="0" w:color="auto"/>
            </w:tcBorders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0.78 (0.46, 1.31)</w:t>
            </w:r>
          </w:p>
        </w:tc>
        <w:tc>
          <w:tcPr>
            <w:tcW w:w="2614" w:type="dxa"/>
            <w:tcBorders>
              <w:bottom w:val="single" w:sz="4" w:space="0" w:color="auto"/>
            </w:tcBorders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1.03 (0.60, 1.80)</w:t>
            </w:r>
          </w:p>
        </w:tc>
        <w:tc>
          <w:tcPr>
            <w:tcW w:w="2614" w:type="dxa"/>
            <w:tcBorders>
              <w:bottom w:val="single" w:sz="4" w:space="0" w:color="auto"/>
            </w:tcBorders>
            <w:vAlign w:val="center"/>
          </w:tcPr>
          <w:p w:rsidR="00386A63" w:rsidRDefault="00386A63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0.68 (0.39, 1.20)</w:t>
            </w:r>
          </w:p>
        </w:tc>
      </w:tr>
    </w:tbl>
    <w:p w:rsidR="00386A63" w:rsidRDefault="00386A63" w:rsidP="00386A63">
      <w:pPr>
        <w:rPr>
          <w:rFonts w:ascii="Times New Roman" w:eastAsia="標楷體" w:hAnsi="Times New Roman" w:cs="Times New Roman"/>
        </w:rPr>
      </w:pPr>
      <w:r w:rsidRPr="000821F6">
        <w:rPr>
          <w:rFonts w:ascii="Times New Roman" w:eastAsia="標楷體" w:hAnsi="Times New Roman" w:cs="Times New Roman"/>
        </w:rPr>
        <w:t>Abbreviations:</w:t>
      </w:r>
      <w:r w:rsidRPr="00171277">
        <w:rPr>
          <w:rFonts w:ascii="Times New Roman" w:eastAsia="標楷體" w:hAnsi="Times New Roman" w:cs="Times New Roman"/>
        </w:rPr>
        <w:t xml:space="preserve"> </w:t>
      </w:r>
      <w:r w:rsidRPr="000821F6">
        <w:rPr>
          <w:rFonts w:ascii="Times New Roman" w:eastAsia="標楷體" w:hAnsi="Times New Roman" w:cs="Times New Roman"/>
        </w:rPr>
        <w:t>MACE, major adverse cardi</w:t>
      </w:r>
      <w:r>
        <w:rPr>
          <w:rFonts w:ascii="Times New Roman" w:eastAsia="標楷體" w:hAnsi="Times New Roman" w:cs="Times New Roman"/>
        </w:rPr>
        <w:t>ovascular</w:t>
      </w:r>
      <w:r w:rsidRPr="000821F6">
        <w:rPr>
          <w:rFonts w:ascii="Times New Roman" w:eastAsia="標楷體" w:hAnsi="Times New Roman" w:cs="Times New Roman"/>
        </w:rPr>
        <w:t xml:space="preserve"> event</w:t>
      </w:r>
      <w:r>
        <w:rPr>
          <w:rFonts w:ascii="Times New Roman" w:eastAsia="標楷體" w:hAnsi="Times New Roman" w:cs="Times New Roman"/>
        </w:rPr>
        <w:t>;</w:t>
      </w:r>
      <w:r w:rsidRPr="000821F6">
        <w:rPr>
          <w:rFonts w:ascii="Times New Roman" w:eastAsia="標楷體" w:hAnsi="Times New Roman" w:cs="Times New Roman"/>
        </w:rPr>
        <w:t xml:space="preserve"> </w:t>
      </w:r>
      <w:r w:rsidRPr="00C26E66">
        <w:rPr>
          <w:rFonts w:ascii="Times New Roman" w:eastAsia="標楷體" w:hAnsi="Times New Roman" w:cs="Times New Roman"/>
        </w:rPr>
        <w:t>GLP-1</w:t>
      </w:r>
      <w:r>
        <w:rPr>
          <w:rFonts w:ascii="Times New Roman" w:eastAsia="標楷體" w:hAnsi="Times New Roman" w:cs="Times New Roman"/>
        </w:rPr>
        <w:t>ra</w:t>
      </w:r>
      <w:r w:rsidRPr="00C26E66">
        <w:rPr>
          <w:rFonts w:ascii="Times New Roman" w:eastAsia="標楷體" w:hAnsi="Times New Roman" w:cs="Times New Roman"/>
        </w:rPr>
        <w:t xml:space="preserve">, </w:t>
      </w:r>
      <w:r w:rsidRPr="000821F6">
        <w:rPr>
          <w:rFonts w:ascii="Times New Roman" w:eastAsia="標楷體" w:hAnsi="Times New Roman" w:cs="Times New Roman"/>
        </w:rPr>
        <w:t>glucagon-like peptide-1</w:t>
      </w:r>
      <w:r>
        <w:rPr>
          <w:rFonts w:ascii="Times New Roman" w:eastAsia="標楷體" w:hAnsi="Times New Roman" w:cs="Times New Roman"/>
        </w:rPr>
        <w:t xml:space="preserve"> receptor agonist;</w:t>
      </w:r>
      <w:r w:rsidRPr="004D4D25">
        <w:rPr>
          <w:rFonts w:ascii="Times New Roman" w:eastAsia="標楷體" w:hAnsi="Times New Roman" w:cs="Times New Roman"/>
        </w:rPr>
        <w:t xml:space="preserve"> </w:t>
      </w:r>
      <w:r>
        <w:rPr>
          <w:rFonts w:ascii="Times New Roman" w:eastAsia="標楷體" w:hAnsi="Times New Roman" w:cs="Times New Roman"/>
        </w:rPr>
        <w:t>DPP-4i, d</w:t>
      </w:r>
      <w:r w:rsidRPr="004C7CE9">
        <w:rPr>
          <w:rFonts w:ascii="Times New Roman" w:eastAsia="標楷體" w:hAnsi="Times New Roman" w:cs="Times New Roman"/>
        </w:rPr>
        <w:t>ipeptidyl peptidase-4 inhibitor</w:t>
      </w:r>
      <w:r>
        <w:rPr>
          <w:rFonts w:ascii="Times New Roman" w:eastAsia="標楷體" w:hAnsi="Times New Roman" w:cs="Times New Roman"/>
        </w:rPr>
        <w:t>;</w:t>
      </w:r>
      <w:r w:rsidRPr="004D4D25">
        <w:rPr>
          <w:rFonts w:ascii="Times New Roman" w:eastAsia="標楷體" w:hAnsi="Times New Roman" w:cs="Times New Roman"/>
        </w:rPr>
        <w:t xml:space="preserve"> SU, </w:t>
      </w:r>
      <w:r>
        <w:rPr>
          <w:rFonts w:ascii="Times New Roman" w:eastAsia="標楷體" w:hAnsi="Times New Roman" w:cs="Times New Roman"/>
        </w:rPr>
        <w:t>s</w:t>
      </w:r>
      <w:r w:rsidRPr="004D4D25">
        <w:rPr>
          <w:rFonts w:ascii="Times New Roman" w:eastAsia="標楷體" w:hAnsi="Times New Roman" w:cs="Times New Roman"/>
        </w:rPr>
        <w:t>ulfonylurea;</w:t>
      </w:r>
      <w:r w:rsidRPr="000821F6">
        <w:rPr>
          <w:rFonts w:ascii="Times New Roman" w:eastAsia="標楷體" w:hAnsi="Times New Roman" w:cs="Times New Roman"/>
        </w:rPr>
        <w:t xml:space="preserve"> CVD, cardiovascular disease; </w:t>
      </w:r>
      <w:r w:rsidRPr="003632CF">
        <w:rPr>
          <w:rFonts w:ascii="Times New Roman" w:eastAsia="標楷體" w:hAnsi="Times New Roman" w:cs="Times New Roman"/>
        </w:rPr>
        <w:t>MVD, microvascular disease;</w:t>
      </w:r>
      <w:r>
        <w:rPr>
          <w:rFonts w:ascii="Times New Roman" w:eastAsia="標楷體" w:hAnsi="Times New Roman" w:cs="Times New Roman"/>
        </w:rPr>
        <w:t xml:space="preserve"> DM, d</w:t>
      </w:r>
      <w:r w:rsidRPr="003632CF">
        <w:rPr>
          <w:rFonts w:ascii="Times New Roman" w:eastAsia="標楷體" w:hAnsi="Times New Roman" w:cs="Times New Roman"/>
        </w:rPr>
        <w:t>iabetes mellitus</w:t>
      </w:r>
      <w:r w:rsidRPr="000821F6">
        <w:rPr>
          <w:rFonts w:ascii="Times New Roman" w:eastAsia="標楷體" w:hAnsi="Times New Roman" w:cs="Times New Roman"/>
        </w:rPr>
        <w:t>.</w:t>
      </w:r>
    </w:p>
    <w:p w:rsidR="00386A63" w:rsidRDefault="00386A63" w:rsidP="00386A63">
      <w:pPr>
        <w:rPr>
          <w:rFonts w:ascii="Times New Roman" w:eastAsia="標楷體" w:hAnsi="Times New Roman" w:cs="Times New Roman"/>
        </w:rPr>
      </w:pPr>
      <w:r w:rsidRPr="00C81591">
        <w:rPr>
          <w:rFonts w:ascii="Times New Roman" w:eastAsia="標楷體" w:hAnsi="Times New Roman" w:cs="Times New Roman" w:hint="eastAsia"/>
          <w:vertAlign w:val="superscript"/>
        </w:rPr>
        <w:t>a</w:t>
      </w:r>
      <w:r>
        <w:rPr>
          <w:rFonts w:ascii="Times New Roman" w:hAnsi="Times New Roman" w:cs="Times New Roman"/>
        </w:rPr>
        <w:t xml:space="preserve">All analyses above were adjusted for imbalanced patient characteristics between GLP-1ra and other glucose-lowering agent subgroups, as indicated by values of absolute </w:t>
      </w:r>
      <w:r>
        <w:rPr>
          <w:rFonts w:ascii="Times New Roman" w:eastAsia="標楷體" w:hAnsi="Times New Roman" w:cs="Times New Roman"/>
        </w:rPr>
        <w:t>standardized mean difference</w:t>
      </w:r>
      <w:r>
        <w:rPr>
          <w:rFonts w:ascii="Times New Roman" w:hAnsi="Times New Roman" w:cs="Times New Roman"/>
        </w:rPr>
        <w:t xml:space="preserve"> &gt; 0.1.</w:t>
      </w:r>
    </w:p>
    <w:p w:rsidR="00386A63" w:rsidRDefault="00386A63" w:rsidP="00386A63">
      <w:pPr>
        <w:rPr>
          <w:rFonts w:ascii="Times New Roman" w:eastAsia="標楷體" w:hAnsi="Times New Roman" w:cs="Times New Roman"/>
        </w:rPr>
      </w:pPr>
      <w:r w:rsidRPr="00C81591">
        <w:rPr>
          <w:rFonts w:ascii="Times New Roman" w:eastAsia="標楷體" w:hAnsi="Times New Roman" w:cs="Times New Roman" w:hint="eastAsia"/>
          <w:vertAlign w:val="superscript"/>
        </w:rPr>
        <w:t>b</w:t>
      </w:r>
      <w:r w:rsidRPr="003202CC">
        <w:rPr>
          <w:rFonts w:ascii="Times New Roman" w:eastAsia="標楷體" w:hAnsi="Times New Roman" w:cs="Times New Roman"/>
        </w:rPr>
        <w:t>Three-point MACE included non-fatal myocardial infarction, non-fatal stroke, and death due to cardiovascular disease.</w:t>
      </w:r>
    </w:p>
    <w:p w:rsidR="00C16BF6" w:rsidRDefault="00C16BF6"/>
    <w:sectPr w:rsidR="00C16BF6" w:rsidSect="00064B7F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A63"/>
    <w:rsid w:val="00064B7F"/>
    <w:rsid w:val="00386A63"/>
    <w:rsid w:val="00C1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44B4D6"/>
  <w15:chartTrackingRefBased/>
  <w15:docId w15:val="{7395032F-5C61-E54F-924A-767A7656E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6A63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A63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楊珺婷</dc:creator>
  <cp:keywords/>
  <dc:description/>
  <cp:lastModifiedBy>楊珺婷</cp:lastModifiedBy>
  <cp:revision>1</cp:revision>
  <dcterms:created xsi:type="dcterms:W3CDTF">2020-02-22T14:56:00Z</dcterms:created>
  <dcterms:modified xsi:type="dcterms:W3CDTF">2020-02-22T14:56:00Z</dcterms:modified>
</cp:coreProperties>
</file>